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8EC72" w14:textId="7FB46854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18704B">
        <w:rPr>
          <w:rFonts w:ascii="Times New Roman" w:hAnsi="Times New Roman" w:cs="Times New Roman"/>
          <w:b/>
          <w:sz w:val="24"/>
          <w:szCs w:val="24"/>
          <w:lang w:val="en-US"/>
        </w:rPr>
        <w:t>ANEXO I - PROGRAMA E BIBLIOGRAFIA PARA A PROVA DE CONHECIMENTO ESPECÍFICO </w:t>
      </w:r>
    </w:p>
    <w:p w14:paraId="47136D71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439CDE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1. Potencial de membrana e de ação </w:t>
      </w:r>
    </w:p>
    <w:p w14:paraId="16E5C71E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2. Eletrofisiologia cardíaca </w:t>
      </w:r>
    </w:p>
    <w:p w14:paraId="081494E8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3. Ciclo cardíaco </w:t>
      </w:r>
    </w:p>
    <w:p w14:paraId="18A134F1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4. Regulação de pressão arterial </w:t>
      </w:r>
    </w:p>
    <w:p w14:paraId="7B78BEEA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5. Mecânica respiratória </w:t>
      </w:r>
    </w:p>
    <w:p w14:paraId="62410E24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6. Controle da ventilação </w:t>
      </w:r>
    </w:p>
    <w:p w14:paraId="74C87416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7. Sistema hipotálamo-hipofisário </w:t>
      </w:r>
    </w:p>
    <w:p w14:paraId="491A573E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8. Fisiologia da reprodução </w:t>
      </w:r>
    </w:p>
    <w:p w14:paraId="1291CB0E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9. Regulação do sistema nervoso autônomo </w:t>
      </w:r>
    </w:p>
    <w:p w14:paraId="7E279047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10. Sistema somato-sensorial </w:t>
      </w:r>
    </w:p>
    <w:p w14:paraId="4ED6FCD6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11. Regulação do equilíbrio hidroeletrolítico </w:t>
      </w:r>
    </w:p>
    <w:p w14:paraId="28AE8020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12. Absorção e digestão </w:t>
      </w:r>
    </w:p>
    <w:p w14:paraId="4976120F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13. Regulação da secreção gástrica e pancreática </w:t>
      </w:r>
    </w:p>
    <w:p w14:paraId="519F9966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2CCB09F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BIBLIOGRAFIA SUGERIDA: </w:t>
      </w:r>
    </w:p>
    <w:p w14:paraId="31A0CA69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AIRES, Margarida de Mello. Fisiologia. 4. ed. Rio de Janeiro: Guanabara Koogan, 2012. </w:t>
      </w:r>
    </w:p>
    <w:p w14:paraId="0081E15C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BERNE, R.M.; LEVY, M. N; KOEPPEN B.M.; STATON, B. A. Fundamentos de Fisiologia. 4 ed. Rio de Janeiro: Elsevier, 2006. </w:t>
      </w:r>
    </w:p>
    <w:p w14:paraId="11AF3747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CURI, RUI. Fisiologia Básica 1ªedição Editora: Guanabara Koogan. Ano de publicação: 2009. </w:t>
      </w:r>
    </w:p>
    <w:p w14:paraId="09E862C2" w14:textId="77777777" w:rsidR="0018704B" w:rsidRPr="0018704B" w:rsidRDefault="0018704B" w:rsidP="0018704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GOODMAN, Louis Sanford; GILMAN, Alfred Goodman; BRUNTON, Laurence L. As bases farmacológicas da terapêutica de Goodman &amp; Gilman. 12. ed. Rio de Janeiro, RJ: McGraw-Hill: Artemed, 2012. xxvi, 2079. </w:t>
      </w:r>
    </w:p>
    <w:p w14:paraId="17452065" w14:textId="332161CA" w:rsidR="004C73DF" w:rsidRDefault="0018704B" w:rsidP="00187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8704B">
        <w:rPr>
          <w:rFonts w:ascii="Times New Roman" w:hAnsi="Times New Roman" w:cs="Times New Roman"/>
          <w:sz w:val="24"/>
          <w:szCs w:val="24"/>
          <w:lang w:val="en-US"/>
        </w:rPr>
        <w:t>GUYTON, A.C.; HALL, J.E. Tratado de fisiologia médica. 12. ed. Rio de Janeiro: Elsevier, 2011</w:t>
      </w:r>
    </w:p>
    <w:p w14:paraId="1E11DCDF" w14:textId="1A4506EC" w:rsidR="004B5309" w:rsidRPr="00DF551A" w:rsidRDefault="004B5309" w:rsidP="0018704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5309">
        <w:rPr>
          <w:rFonts w:ascii="Times New Roman" w:hAnsi="Times New Roman" w:cs="Times New Roman"/>
          <w:caps/>
          <w:sz w:val="24"/>
          <w:szCs w:val="24"/>
          <w:lang w:val="en-US"/>
        </w:rPr>
        <w:t>Senger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P.L Pathways to pregnancy and parturition. 3. Ed. </w:t>
      </w:r>
      <w:r w:rsidR="00D44CFF">
        <w:rPr>
          <w:rFonts w:ascii="Times New Roman" w:hAnsi="Times New Roman" w:cs="Times New Roman"/>
          <w:sz w:val="24"/>
          <w:szCs w:val="24"/>
          <w:lang w:val="en-US"/>
        </w:rPr>
        <w:t>Estados Unidos</w:t>
      </w:r>
      <w:r w:rsidR="00DF551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Current Conceptions</w:t>
      </w:r>
      <w:r w:rsidR="00F86A9D">
        <w:rPr>
          <w:rFonts w:ascii="Times New Roman" w:hAnsi="Times New Roman" w:cs="Times New Roman"/>
          <w:sz w:val="24"/>
          <w:szCs w:val="24"/>
          <w:lang w:val="en-US"/>
        </w:rPr>
        <w:t>, 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sectPr w:rsidR="004B5309" w:rsidRPr="00DF551A" w:rsidSect="00480F37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3"/>
    <w:rsid w:val="00026A82"/>
    <w:rsid w:val="0006278B"/>
    <w:rsid w:val="0009711A"/>
    <w:rsid w:val="001857B3"/>
    <w:rsid w:val="0018704B"/>
    <w:rsid w:val="001D3268"/>
    <w:rsid w:val="002202DB"/>
    <w:rsid w:val="002A0E71"/>
    <w:rsid w:val="002F204F"/>
    <w:rsid w:val="00310316"/>
    <w:rsid w:val="00394A4A"/>
    <w:rsid w:val="00395389"/>
    <w:rsid w:val="003962D3"/>
    <w:rsid w:val="00415064"/>
    <w:rsid w:val="00480F37"/>
    <w:rsid w:val="004B5309"/>
    <w:rsid w:val="004C6692"/>
    <w:rsid w:val="004C73DF"/>
    <w:rsid w:val="004D16A9"/>
    <w:rsid w:val="00526CB8"/>
    <w:rsid w:val="005B365B"/>
    <w:rsid w:val="005E67DE"/>
    <w:rsid w:val="006825AE"/>
    <w:rsid w:val="00683B7C"/>
    <w:rsid w:val="00717A63"/>
    <w:rsid w:val="007600DB"/>
    <w:rsid w:val="007D65F4"/>
    <w:rsid w:val="008336B9"/>
    <w:rsid w:val="0088001C"/>
    <w:rsid w:val="00895E20"/>
    <w:rsid w:val="00932941"/>
    <w:rsid w:val="00952006"/>
    <w:rsid w:val="009B26CD"/>
    <w:rsid w:val="009D4360"/>
    <w:rsid w:val="00A52D3A"/>
    <w:rsid w:val="00A57AB8"/>
    <w:rsid w:val="00A61764"/>
    <w:rsid w:val="00A82EE6"/>
    <w:rsid w:val="00B06652"/>
    <w:rsid w:val="00B342C8"/>
    <w:rsid w:val="00B520DC"/>
    <w:rsid w:val="00C30501"/>
    <w:rsid w:val="00C34463"/>
    <w:rsid w:val="00C928CE"/>
    <w:rsid w:val="00C94FEE"/>
    <w:rsid w:val="00D32B91"/>
    <w:rsid w:val="00D35440"/>
    <w:rsid w:val="00D44CFF"/>
    <w:rsid w:val="00D84922"/>
    <w:rsid w:val="00DB7AAD"/>
    <w:rsid w:val="00DF551A"/>
    <w:rsid w:val="00E43D03"/>
    <w:rsid w:val="00EA2D11"/>
    <w:rsid w:val="00EA4364"/>
    <w:rsid w:val="00EC740A"/>
    <w:rsid w:val="00F0737C"/>
    <w:rsid w:val="00F6210E"/>
    <w:rsid w:val="00F86A9D"/>
    <w:rsid w:val="00FC0BE0"/>
    <w:rsid w:val="00FD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3BCA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22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D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202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2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2DB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2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2DB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2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922"/>
    <w:pPr>
      <w:spacing w:after="200" w:line="276" w:lineRule="auto"/>
    </w:pPr>
    <w:rPr>
      <w:rFonts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3D0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2202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202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202DB"/>
    <w:rPr>
      <w:rFonts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202D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202DB"/>
    <w:rPr>
      <w:rFonts w:cs="Calibri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02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35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PANILHA PARA ANÁLISE DO CURRÍCULO</vt:lpstr>
    </vt:vector>
  </TitlesOfParts>
  <Company>Hewlett-Packard Company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PANILHA PARA ANÁLISE DO CURRÍCULO</dc:title>
  <dc:creator>pccli</dc:creator>
  <cp:lastModifiedBy>Pâmela Mello-Carpes</cp:lastModifiedBy>
  <cp:revision>2</cp:revision>
  <dcterms:created xsi:type="dcterms:W3CDTF">2016-10-11T14:22:00Z</dcterms:created>
  <dcterms:modified xsi:type="dcterms:W3CDTF">2016-10-11T14:22:00Z</dcterms:modified>
</cp:coreProperties>
</file>